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6FCA19">
      <w:pPr>
        <w:spacing w:line="360" w:lineRule="auto"/>
        <w:jc w:val="center"/>
        <w:rPr>
          <w:rFonts w:hint="eastAsia" w:ascii="宋体" w:hAnsi="宋体" w:eastAsia="黑体"/>
          <w:b/>
          <w:bCs/>
          <w:sz w:val="24"/>
        </w:rPr>
      </w:pPr>
      <w:r>
        <w:rPr>
          <w:rFonts w:hint="eastAsia" w:ascii="黑体" w:eastAsia="黑体"/>
          <w:b/>
          <w:sz w:val="28"/>
          <w:szCs w:val="28"/>
        </w:rPr>
        <w:t>2025年浙江万里学院硕士研究生招生考试初试科目考试大纲</w:t>
      </w:r>
    </w:p>
    <w:p w14:paraId="4CA8F154">
      <w:pPr>
        <w:spacing w:line="360" w:lineRule="auto"/>
        <w:jc w:val="center"/>
        <w:rPr>
          <w:rFonts w:ascii="Times New Roman" w:hAnsi="Times New Roman" w:cs="Times New Roman"/>
          <w:b/>
          <w:sz w:val="24"/>
        </w:rPr>
      </w:pPr>
      <w:r>
        <w:rPr>
          <w:rFonts w:hint="eastAsia" w:ascii="黑体" w:eastAsia="黑体"/>
          <w:b/>
          <w:sz w:val="28"/>
          <w:szCs w:val="28"/>
        </w:rPr>
        <w:t>科目代码、名称: 431金融学综合</w:t>
      </w:r>
    </w:p>
    <w:p w14:paraId="083F11F7">
      <w:pPr>
        <w:spacing w:before="312" w:beforeLines="100" w:line="360" w:lineRule="auto"/>
        <w:ind w:firstLine="562" w:firstLineChars="200"/>
        <w:rPr>
          <w:rFonts w:hint="eastAsia" w:ascii="仿宋" w:hAnsi="仿宋" w:eastAsia="仿宋"/>
          <w:b/>
          <w:sz w:val="28"/>
          <w:szCs w:val="28"/>
        </w:rPr>
      </w:pPr>
      <w:r>
        <w:rPr>
          <w:rFonts w:hint="eastAsia" w:ascii="仿宋" w:hAnsi="仿宋" w:eastAsia="仿宋"/>
          <w:b/>
          <w:sz w:val="28"/>
          <w:szCs w:val="28"/>
        </w:rPr>
        <w:t>一、考试方式与分值</w:t>
      </w:r>
    </w:p>
    <w:p w14:paraId="76A0DA2A">
      <w:pPr>
        <w:spacing w:line="360" w:lineRule="auto"/>
        <w:ind w:firstLine="482" w:firstLineChars="200"/>
        <w:rPr>
          <w:rFonts w:hint="eastAsia" w:ascii="仿宋" w:hAnsi="仿宋" w:eastAsia="仿宋"/>
          <w:b/>
          <w:sz w:val="24"/>
        </w:rPr>
      </w:pPr>
      <w:r>
        <w:rPr>
          <w:rFonts w:hint="eastAsia" w:ascii="仿宋" w:hAnsi="仿宋" w:eastAsia="仿宋"/>
          <w:b/>
          <w:sz w:val="24"/>
        </w:rPr>
        <w:t>（一）试卷满分值及考试时间</w:t>
      </w:r>
    </w:p>
    <w:p w14:paraId="13DE6842">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本试卷满分为150分，考试时间为180分钟。</w:t>
      </w:r>
    </w:p>
    <w:p w14:paraId="56526E23">
      <w:pPr>
        <w:spacing w:line="360" w:lineRule="auto"/>
        <w:ind w:firstLine="482" w:firstLineChars="200"/>
        <w:rPr>
          <w:rFonts w:hint="eastAsia" w:ascii="仿宋" w:hAnsi="仿宋" w:eastAsia="仿宋"/>
          <w:b/>
          <w:sz w:val="24"/>
        </w:rPr>
      </w:pPr>
      <w:r>
        <w:rPr>
          <w:rFonts w:hint="eastAsia" w:ascii="仿宋" w:hAnsi="仿宋" w:eastAsia="仿宋"/>
          <w:b/>
          <w:sz w:val="24"/>
        </w:rPr>
        <w:t>（二）答题方式</w:t>
      </w:r>
    </w:p>
    <w:p w14:paraId="33581D77">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答题方式为闭卷、笔试。试卷由试题和答题纸组成；答案必须写在答题纸（由考点提供）相应的位置上。</w:t>
      </w:r>
    </w:p>
    <w:p w14:paraId="566F3585">
      <w:pPr>
        <w:spacing w:line="360" w:lineRule="auto"/>
        <w:ind w:firstLine="482" w:firstLineChars="200"/>
        <w:rPr>
          <w:rFonts w:hint="eastAsia" w:ascii="仿宋" w:hAnsi="仿宋" w:eastAsia="仿宋"/>
          <w:b/>
          <w:sz w:val="24"/>
        </w:rPr>
      </w:pPr>
      <w:r>
        <w:rPr>
          <w:rFonts w:hint="eastAsia" w:ascii="仿宋" w:hAnsi="仿宋" w:eastAsia="仿宋"/>
          <w:b/>
          <w:sz w:val="24"/>
        </w:rPr>
        <w:t>（三）试卷题型分布</w:t>
      </w:r>
    </w:p>
    <w:p w14:paraId="0365209D">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1.名词解释</w:t>
      </w:r>
    </w:p>
    <w:p w14:paraId="59A0CCB9">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2.简答题</w:t>
      </w:r>
    </w:p>
    <w:p w14:paraId="08DABD10">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3.计算题</w:t>
      </w:r>
    </w:p>
    <w:p w14:paraId="4A93B8D9">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4.论述题</w:t>
      </w:r>
    </w:p>
    <w:p w14:paraId="202732DA">
      <w:pPr>
        <w:spacing w:line="360" w:lineRule="auto"/>
        <w:ind w:firstLine="562" w:firstLineChars="200"/>
        <w:rPr>
          <w:rFonts w:hint="eastAsia" w:ascii="仿宋" w:hAnsi="仿宋" w:eastAsia="仿宋" w:cs="Times New Roman"/>
          <w:b/>
          <w:sz w:val="28"/>
          <w:szCs w:val="28"/>
        </w:rPr>
      </w:pPr>
      <w:r>
        <w:rPr>
          <w:rFonts w:hint="eastAsia" w:ascii="仿宋" w:hAnsi="仿宋" w:eastAsia="仿宋" w:cs="Times New Roman"/>
          <w:b/>
          <w:sz w:val="28"/>
          <w:szCs w:val="28"/>
        </w:rPr>
        <w:t>二</w:t>
      </w:r>
      <w:r>
        <w:rPr>
          <w:rFonts w:ascii="仿宋" w:hAnsi="仿宋" w:eastAsia="仿宋" w:cs="Times New Roman"/>
          <w:b/>
          <w:sz w:val="28"/>
          <w:szCs w:val="28"/>
        </w:rPr>
        <w:t>、</w:t>
      </w:r>
      <w:r>
        <w:rPr>
          <w:rFonts w:hint="eastAsia" w:ascii="仿宋" w:hAnsi="仿宋" w:eastAsia="仿宋" w:cs="Times New Roman"/>
          <w:b/>
          <w:sz w:val="28"/>
          <w:szCs w:val="28"/>
        </w:rPr>
        <w:t>考查目标</w:t>
      </w:r>
    </w:p>
    <w:p w14:paraId="1AD69CC1">
      <w:pPr>
        <w:spacing w:line="360" w:lineRule="auto"/>
        <w:rPr>
          <w:rFonts w:hint="eastAsia" w:ascii="仿宋" w:hAnsi="仿宋" w:eastAsia="仿宋" w:cs="仿宋"/>
          <w:sz w:val="24"/>
          <w:szCs w:val="32"/>
        </w:rPr>
      </w:pPr>
      <w:r>
        <w:rPr>
          <w:rFonts w:ascii="仿宋" w:hAnsi="仿宋" w:eastAsia="仿宋" w:cs="仿宋"/>
          <w:sz w:val="24"/>
          <w:szCs w:val="32"/>
        </w:rPr>
        <w:t xml:space="preserve">   《金融学综合》是金融硕士专业学位研究生入学统一考试科目之一。课程考试的目的在于科学、准确、规范地测评考生对于金融学、公司财务等宏微观金融学相关概念及理论的掌握情况和综合应用能力，选拔具有发展潜力的优秀人才入学，为国家的经济建设培养具有良好职业道德、具有较强分析与解决实际问题能力的高层次、应用型、复合型的金融专业人才。</w:t>
      </w:r>
    </w:p>
    <w:p w14:paraId="36485D7F">
      <w:pPr>
        <w:spacing w:line="360" w:lineRule="auto"/>
        <w:ind w:firstLine="562" w:firstLineChars="200"/>
        <w:rPr>
          <w:rFonts w:hint="eastAsia" w:ascii="仿宋" w:hAnsi="仿宋" w:eastAsia="仿宋" w:cs="Times New Roman"/>
          <w:b/>
          <w:sz w:val="28"/>
          <w:szCs w:val="28"/>
        </w:rPr>
      </w:pPr>
      <w:r>
        <w:rPr>
          <w:rFonts w:ascii="仿宋" w:hAnsi="仿宋" w:eastAsia="仿宋" w:cs="Times New Roman"/>
          <w:b/>
          <w:sz w:val="28"/>
          <w:szCs w:val="28"/>
        </w:rPr>
        <w:t>三、考试</w:t>
      </w:r>
      <w:r>
        <w:rPr>
          <w:rFonts w:hint="eastAsia" w:ascii="仿宋" w:hAnsi="仿宋" w:eastAsia="仿宋" w:cs="Times New Roman"/>
          <w:b/>
          <w:sz w:val="28"/>
          <w:szCs w:val="28"/>
        </w:rPr>
        <w:t>内容</w:t>
      </w:r>
    </w:p>
    <w:p w14:paraId="1137B29F">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第一部分：金融学</w:t>
      </w:r>
    </w:p>
    <w:p w14:paraId="20CC3D4E">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1. 货币与货币制度</w:t>
      </w:r>
    </w:p>
    <w:p w14:paraId="56588E02">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（1）货币的职能</w:t>
      </w:r>
    </w:p>
    <w:p w14:paraId="1E4CD72B">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（2）货币的形式的演变</w:t>
      </w:r>
    </w:p>
    <w:p w14:paraId="04E74A71">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（3）货币的计量</w:t>
      </w:r>
    </w:p>
    <w:p w14:paraId="381F7EE8">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（4）货币制度</w:t>
      </w:r>
    </w:p>
    <w:p w14:paraId="2B546A6A">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（5）信用及信用形式</w:t>
      </w:r>
    </w:p>
    <w:p w14:paraId="60834012">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2. 金融机构</w:t>
      </w:r>
    </w:p>
    <w:p w14:paraId="263DCB08">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（1）金融机构体系</w:t>
      </w:r>
    </w:p>
    <w:p w14:paraId="2BA2B93D">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（2）金融机构体系构成</w:t>
      </w:r>
    </w:p>
    <w:p w14:paraId="1CA93001">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3. 利息与金融市场</w:t>
      </w:r>
    </w:p>
    <w:p w14:paraId="21A35DD9">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（1）利息与利率</w:t>
      </w:r>
    </w:p>
    <w:p w14:paraId="13540C40">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（2）利率的计算与应用</w:t>
      </w:r>
    </w:p>
    <w:p w14:paraId="1A66B27E">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（3）金融市场及其要素</w:t>
      </w:r>
    </w:p>
    <w:p w14:paraId="70DA4AEF">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（4）货币市场</w:t>
      </w:r>
    </w:p>
    <w:p w14:paraId="0179B7C0">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（5）资本市场</w:t>
      </w:r>
    </w:p>
    <w:p w14:paraId="358AFD38">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4. 金融衍生工具</w:t>
      </w:r>
    </w:p>
    <w:p w14:paraId="3021173A">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（1）金融衍生工具市场</w:t>
      </w:r>
    </w:p>
    <w:p w14:paraId="0084CEC3">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（2）金融远期市场</w:t>
      </w:r>
    </w:p>
    <w:p w14:paraId="01FCB548">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（3）金融期货市场</w:t>
      </w:r>
    </w:p>
    <w:p w14:paraId="56C3459A">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（4）金融期权市场</w:t>
      </w:r>
    </w:p>
    <w:p w14:paraId="1C51FDFF">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5. 商业银行及经营管理</w:t>
      </w:r>
    </w:p>
    <w:p w14:paraId="1089F116">
      <w:pPr>
        <w:spacing w:line="360" w:lineRule="auto"/>
        <w:ind w:firstLine="480" w:firstLineChars="200"/>
        <w:rPr>
          <w:rFonts w:hint="eastAsia" w:ascii="仿宋" w:hAnsi="仿宋" w:eastAsia="仿宋" w:cs="仿宋"/>
          <w:sz w:val="24"/>
          <w:szCs w:val="32"/>
        </w:rPr>
      </w:pPr>
      <w:bookmarkStart w:id="0" w:name="_GoBack"/>
      <w:bookmarkEnd w:id="0"/>
      <w:r>
        <w:rPr>
          <w:rFonts w:ascii="仿宋" w:hAnsi="仿宋" w:eastAsia="仿宋" w:cs="仿宋"/>
          <w:sz w:val="24"/>
          <w:szCs w:val="32"/>
        </w:rPr>
        <w:t>（1）商业银行资产负债表</w:t>
      </w:r>
    </w:p>
    <w:p w14:paraId="16F29D7B">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（2）商业银行表外业务</w:t>
      </w:r>
    </w:p>
    <w:p w14:paraId="74902BE8">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（3）商业银行经营管理</w:t>
      </w:r>
    </w:p>
    <w:p w14:paraId="59F15446">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6. 中央银行</w:t>
      </w:r>
    </w:p>
    <w:p w14:paraId="1A3AD7F9">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（1）中央银行产生与发展</w:t>
      </w:r>
    </w:p>
    <w:p w14:paraId="5E7C3D6D">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（2）中央银行制度</w:t>
      </w:r>
    </w:p>
    <w:p w14:paraId="5F4D73DC">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（3）中央银行的性质与职能</w:t>
      </w:r>
    </w:p>
    <w:p w14:paraId="3962A307">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（4）中央银行主要业务</w:t>
      </w:r>
    </w:p>
    <w:p w14:paraId="181510CC">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7. 货币政策</w:t>
      </w:r>
    </w:p>
    <w:p w14:paraId="7B321FFF">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（1）货币政策目标</w:t>
      </w:r>
    </w:p>
    <w:p w14:paraId="4D027B30">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（2）货币政策工具</w:t>
      </w:r>
    </w:p>
    <w:p w14:paraId="733CBC86">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（3）货币政策效果影响因素</w:t>
      </w:r>
    </w:p>
    <w:p w14:paraId="7C194395">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8. 货币供求</w:t>
      </w:r>
    </w:p>
    <w:p w14:paraId="7042A256">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（1）货币需求理论</w:t>
      </w:r>
    </w:p>
    <w:p w14:paraId="475ABD25">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（2）货币供给机制</w:t>
      </w:r>
    </w:p>
    <w:p w14:paraId="7F1710AD">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9. 通货膨胀与通货紧缩</w:t>
      </w:r>
    </w:p>
    <w:p w14:paraId="32E7ADB1">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（1）通货膨胀的定义及度量</w:t>
      </w:r>
    </w:p>
    <w:p w14:paraId="7CFF280E">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（2）通货膨胀形成的原因</w:t>
      </w:r>
    </w:p>
    <w:p w14:paraId="63B0893C">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（3）通货膨胀的经济效应</w:t>
      </w:r>
    </w:p>
    <w:p w14:paraId="068DAF39">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（4）通货紧缩的含义及成因</w:t>
      </w:r>
    </w:p>
    <w:p w14:paraId="0487CAD1">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（5）治理通货膨胀和通货紧缩的对策</w:t>
      </w:r>
    </w:p>
    <w:p w14:paraId="687C74BD">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10. 汇率与外汇交易实务</w:t>
      </w:r>
    </w:p>
    <w:p w14:paraId="09975513">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（1）汇率的决定与变动</w:t>
      </w:r>
    </w:p>
    <w:p w14:paraId="0DA76849">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（2）汇率变动对经济的影响</w:t>
      </w:r>
    </w:p>
    <w:p w14:paraId="6A587CB4">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（3）即期与远期外汇交易</w:t>
      </w:r>
    </w:p>
    <w:p w14:paraId="5FB4EA78">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（4）外汇风险管理方法</w:t>
      </w:r>
    </w:p>
    <w:p w14:paraId="3A93D8B5">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11. 国际收支与国际货币体系</w:t>
      </w:r>
    </w:p>
    <w:p w14:paraId="54ED6CCC">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（1）国际收支不平衡的类型</w:t>
      </w:r>
    </w:p>
    <w:p w14:paraId="3373AE2B">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（2）国际收支不平衡的影响</w:t>
      </w:r>
    </w:p>
    <w:p w14:paraId="77ED7C36">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（3）国际储备的构成及作用</w:t>
      </w:r>
    </w:p>
    <w:p w14:paraId="6CC32697">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（4）布雷顿森林体系的内容及崩溃的原因</w:t>
      </w:r>
    </w:p>
    <w:p w14:paraId="15AC5C2E">
      <w:pPr>
        <w:spacing w:line="360" w:lineRule="auto"/>
        <w:ind w:firstLine="480" w:firstLineChars="200"/>
        <w:rPr>
          <w:rFonts w:hint="eastAsia" w:ascii="仿宋" w:hAnsi="仿宋" w:eastAsia="仿宋" w:cs="仿宋"/>
          <w:sz w:val="24"/>
          <w:szCs w:val="32"/>
        </w:rPr>
      </w:pPr>
    </w:p>
    <w:p w14:paraId="105904CA">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第二部分：公司理财</w:t>
      </w:r>
    </w:p>
    <w:p w14:paraId="42197613">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1. 财务分析</w:t>
      </w:r>
    </w:p>
    <w:p w14:paraId="65D395AF">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w:t>
      </w:r>
      <w:r>
        <w:rPr>
          <w:rFonts w:hint="eastAsia" w:ascii="仿宋" w:hAnsi="仿宋" w:eastAsia="仿宋" w:cs="仿宋"/>
          <w:sz w:val="24"/>
          <w:szCs w:val="32"/>
          <w:lang w:val="en-US" w:eastAsia="zh-CN"/>
        </w:rPr>
        <w:t>1</w:t>
      </w:r>
      <w:r>
        <w:rPr>
          <w:rFonts w:hint="eastAsia" w:ascii="仿宋" w:hAnsi="仿宋" w:eastAsia="仿宋" w:cs="仿宋"/>
          <w:sz w:val="24"/>
          <w:szCs w:val="32"/>
          <w:lang w:eastAsia="zh-CN"/>
        </w:rPr>
        <w:t>）</w:t>
      </w:r>
      <w:r>
        <w:rPr>
          <w:rFonts w:ascii="仿宋" w:hAnsi="仿宋" w:eastAsia="仿宋" w:cs="仿宋"/>
          <w:sz w:val="24"/>
          <w:szCs w:val="32"/>
        </w:rPr>
        <w:t>财务分析框架及方法</w:t>
      </w:r>
    </w:p>
    <w:p w14:paraId="0122522A">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w:t>
      </w:r>
      <w:r>
        <w:rPr>
          <w:rFonts w:hint="eastAsia" w:ascii="仿宋" w:hAnsi="仿宋" w:eastAsia="仿宋" w:cs="仿宋"/>
          <w:sz w:val="24"/>
          <w:szCs w:val="32"/>
          <w:lang w:val="en-US" w:eastAsia="zh-CN"/>
        </w:rPr>
        <w:t>2</w:t>
      </w:r>
      <w:r>
        <w:rPr>
          <w:rFonts w:hint="eastAsia" w:ascii="仿宋" w:hAnsi="仿宋" w:eastAsia="仿宋" w:cs="仿宋"/>
          <w:sz w:val="24"/>
          <w:szCs w:val="32"/>
          <w:lang w:eastAsia="zh-CN"/>
        </w:rPr>
        <w:t>）</w:t>
      </w:r>
      <w:r>
        <w:rPr>
          <w:rFonts w:ascii="仿宋" w:hAnsi="仿宋" w:eastAsia="仿宋" w:cs="仿宋"/>
          <w:sz w:val="24"/>
          <w:szCs w:val="32"/>
        </w:rPr>
        <w:t>财务业绩分析</w:t>
      </w:r>
    </w:p>
    <w:p w14:paraId="1CB6C4D7">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（3）现金流量与信用风险分析</w:t>
      </w:r>
    </w:p>
    <w:p w14:paraId="2AAA2CB2">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2. 债券价值与股票价值的评估</w:t>
      </w:r>
    </w:p>
    <w:p w14:paraId="5D817DAB">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（1）货币的时间价值</w:t>
      </w:r>
    </w:p>
    <w:p w14:paraId="4BBEF8E0">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（2）债券价值评估</w:t>
      </w:r>
    </w:p>
    <w:p w14:paraId="785E932C">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（3）股票现金流星折现法</w:t>
      </w:r>
    </w:p>
    <w:p w14:paraId="5F40EB1B">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（4）乘数估价法</w:t>
      </w:r>
    </w:p>
    <w:p w14:paraId="588848D8">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3. 风险与收益</w:t>
      </w:r>
    </w:p>
    <w:p w14:paraId="7F5F5EBB">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w:t>
      </w:r>
      <w:r>
        <w:rPr>
          <w:rFonts w:hint="eastAsia" w:ascii="仿宋" w:hAnsi="仿宋" w:eastAsia="仿宋" w:cs="仿宋"/>
          <w:sz w:val="24"/>
          <w:szCs w:val="32"/>
          <w:lang w:val="en-US" w:eastAsia="zh-CN"/>
        </w:rPr>
        <w:t>1</w:t>
      </w:r>
      <w:r>
        <w:rPr>
          <w:rFonts w:hint="eastAsia" w:ascii="仿宋" w:hAnsi="仿宋" w:eastAsia="仿宋" w:cs="仿宋"/>
          <w:sz w:val="24"/>
          <w:szCs w:val="32"/>
          <w:lang w:eastAsia="zh-CN"/>
        </w:rPr>
        <w:t>）</w:t>
      </w:r>
      <w:r>
        <w:rPr>
          <w:rFonts w:ascii="仿宋" w:hAnsi="仿宋" w:eastAsia="仿宋" w:cs="仿宋"/>
          <w:sz w:val="24"/>
          <w:szCs w:val="32"/>
        </w:rPr>
        <w:t>历史收益与风险的衡量</w:t>
      </w:r>
    </w:p>
    <w:p w14:paraId="08C22B17">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w:t>
      </w:r>
      <w:r>
        <w:rPr>
          <w:rFonts w:hint="eastAsia" w:ascii="仿宋" w:hAnsi="仿宋" w:eastAsia="仿宋" w:cs="仿宋"/>
          <w:sz w:val="24"/>
          <w:szCs w:val="32"/>
          <w:lang w:val="en-US" w:eastAsia="zh-CN"/>
        </w:rPr>
        <w:t>2</w:t>
      </w:r>
      <w:r>
        <w:rPr>
          <w:rFonts w:hint="eastAsia" w:ascii="仿宋" w:hAnsi="仿宋" w:eastAsia="仿宋" w:cs="仿宋"/>
          <w:sz w:val="24"/>
          <w:szCs w:val="32"/>
          <w:lang w:eastAsia="zh-CN"/>
        </w:rPr>
        <w:t>）</w:t>
      </w:r>
      <w:r>
        <w:rPr>
          <w:rFonts w:ascii="仿宋" w:hAnsi="仿宋" w:eastAsia="仿宋" w:cs="仿宋"/>
          <w:sz w:val="24"/>
          <w:szCs w:val="32"/>
        </w:rPr>
        <w:t>预期收益与风险的衡量</w:t>
      </w:r>
    </w:p>
    <w:p w14:paraId="1BFBCE46">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w:t>
      </w:r>
      <w:r>
        <w:rPr>
          <w:rFonts w:hint="eastAsia" w:ascii="仿宋" w:hAnsi="仿宋" w:eastAsia="仿宋" w:cs="仿宋"/>
          <w:sz w:val="24"/>
          <w:szCs w:val="32"/>
          <w:lang w:val="en-US" w:eastAsia="zh-CN"/>
        </w:rPr>
        <w:t>3</w:t>
      </w:r>
      <w:r>
        <w:rPr>
          <w:rFonts w:hint="eastAsia" w:ascii="仿宋" w:hAnsi="仿宋" w:eastAsia="仿宋" w:cs="仿宋"/>
          <w:sz w:val="24"/>
          <w:szCs w:val="32"/>
          <w:lang w:eastAsia="zh-CN"/>
        </w:rPr>
        <w:t>）</w:t>
      </w:r>
      <w:r>
        <w:rPr>
          <w:rFonts w:ascii="仿宋" w:hAnsi="仿宋" w:eastAsia="仿宋" w:cs="仿宋"/>
          <w:sz w:val="24"/>
          <w:szCs w:val="32"/>
        </w:rPr>
        <w:t>投资组合收益与风险的衡量</w:t>
      </w:r>
    </w:p>
    <w:p w14:paraId="262520C2">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w:t>
      </w:r>
      <w:r>
        <w:rPr>
          <w:rFonts w:hint="eastAsia" w:ascii="仿宋" w:hAnsi="仿宋" w:eastAsia="仿宋" w:cs="仿宋"/>
          <w:sz w:val="24"/>
          <w:szCs w:val="32"/>
          <w:lang w:val="en-US" w:eastAsia="zh-CN"/>
        </w:rPr>
        <w:t>4</w:t>
      </w:r>
      <w:r>
        <w:rPr>
          <w:rFonts w:hint="eastAsia" w:ascii="仿宋" w:hAnsi="仿宋" w:eastAsia="仿宋" w:cs="仿宋"/>
          <w:sz w:val="24"/>
          <w:szCs w:val="32"/>
          <w:lang w:eastAsia="zh-CN"/>
        </w:rPr>
        <w:t>）</w:t>
      </w:r>
      <w:r>
        <w:rPr>
          <w:rFonts w:ascii="仿宋" w:hAnsi="仿宋" w:eastAsia="仿宋" w:cs="仿宋"/>
          <w:sz w:val="24"/>
          <w:szCs w:val="32"/>
        </w:rPr>
        <w:t>资本资产定价模型</w:t>
      </w:r>
    </w:p>
    <w:p w14:paraId="79667755">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val="en-US" w:eastAsia="zh-CN"/>
        </w:rPr>
        <w:t xml:space="preserve">4. </w:t>
      </w:r>
      <w:r>
        <w:rPr>
          <w:rFonts w:ascii="仿宋" w:hAnsi="仿宋" w:eastAsia="仿宋" w:cs="仿宋"/>
          <w:sz w:val="24"/>
          <w:szCs w:val="32"/>
        </w:rPr>
        <w:t>投资成本</w:t>
      </w:r>
    </w:p>
    <w:p w14:paraId="6AFCF54E">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（1）公司资本成本</w:t>
      </w:r>
    </w:p>
    <w:p w14:paraId="055BB43D">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（2）项目资本成本</w:t>
      </w:r>
    </w:p>
    <w:p w14:paraId="2A1E483A">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5. 投资决策</w:t>
      </w:r>
    </w:p>
    <w:p w14:paraId="66C59828">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（1）投资项目现金流星</w:t>
      </w:r>
    </w:p>
    <w:p w14:paraId="456B347C">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（2）投资项目评价标</w:t>
      </w:r>
    </w:p>
    <w:p w14:paraId="3CC95FD9">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（3）投资项目风险分析</w:t>
      </w:r>
    </w:p>
    <w:p w14:paraId="146EE9C4">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6. 资本结构</w:t>
      </w:r>
    </w:p>
    <w:p w14:paraId="7E0AC730">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（1）杠杆分析</w:t>
      </w:r>
    </w:p>
    <w:p w14:paraId="7E88651C">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（2）资本结构理论</w:t>
      </w:r>
    </w:p>
    <w:p w14:paraId="519BD9EF">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（3）目标资本结构调整</w:t>
      </w:r>
    </w:p>
    <w:p w14:paraId="63047BEA">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7. 长期融资</w:t>
      </w:r>
    </w:p>
    <w:p w14:paraId="3E12B4E5">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（1）股票融资</w:t>
      </w:r>
    </w:p>
    <w:p w14:paraId="6EB29CD1">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（2）长期债务融资</w:t>
      </w:r>
    </w:p>
    <w:p w14:paraId="5536DFC8">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（3）直接融资与间接融资</w:t>
      </w:r>
    </w:p>
    <w:p w14:paraId="3533DE30">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（4）租赁融资</w:t>
      </w:r>
    </w:p>
    <w:p w14:paraId="21DFABCF">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8. 营运资本管理</w:t>
      </w:r>
    </w:p>
    <w:p w14:paraId="1CCEEBE8">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（1）营运资本管理策略</w:t>
      </w:r>
    </w:p>
    <w:p w14:paraId="493CF69A">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（2）现金管理</w:t>
      </w:r>
    </w:p>
    <w:p w14:paraId="42CD4B2F">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（3）应收账款信用管理</w:t>
      </w:r>
    </w:p>
    <w:p w14:paraId="58CA30BA">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（4）存货管理</w:t>
      </w:r>
    </w:p>
    <w:p w14:paraId="5FBC2390">
      <w:pPr>
        <w:spacing w:line="360" w:lineRule="auto"/>
        <w:ind w:firstLine="480" w:firstLineChars="200"/>
        <w:rPr>
          <w:rFonts w:hint="eastAsia" w:ascii="仿宋" w:hAnsi="仿宋" w:eastAsia="仿宋" w:cs="仿宋"/>
          <w:sz w:val="24"/>
          <w:szCs w:val="32"/>
        </w:rPr>
      </w:pPr>
      <w:r>
        <w:rPr>
          <w:rFonts w:ascii="仿宋" w:hAnsi="仿宋" w:eastAsia="仿宋" w:cs="仿宋"/>
          <w:sz w:val="24"/>
          <w:szCs w:val="32"/>
        </w:rPr>
        <w:t>（5）短期融资</w:t>
      </w:r>
    </w:p>
    <w:p w14:paraId="4FAD3CE7">
      <w:pPr>
        <w:spacing w:line="360" w:lineRule="auto"/>
        <w:ind w:firstLine="480" w:firstLineChars="200"/>
        <w:rPr>
          <w:rFonts w:hint="eastAsia" w:ascii="仿宋" w:hAnsi="仿宋" w:eastAsia="仿宋" w:cs="仿宋"/>
          <w:sz w:val="24"/>
          <w:szCs w:val="32"/>
        </w:rPr>
      </w:pPr>
    </w:p>
    <w:p w14:paraId="440651D8">
      <w:pPr>
        <w:spacing w:line="360" w:lineRule="auto"/>
        <w:ind w:firstLine="480" w:firstLineChars="200"/>
        <w:rPr>
          <w:rFonts w:hint="eastAsia" w:ascii="仿宋" w:hAnsi="仿宋" w:eastAsia="仿宋" w:cs="仿宋"/>
          <w:sz w:val="24"/>
          <w:szCs w:val="32"/>
        </w:rPr>
      </w:pPr>
    </w:p>
    <w:p w14:paraId="417EA2D6">
      <w:pPr>
        <w:spacing w:line="360" w:lineRule="auto"/>
        <w:ind w:firstLine="480" w:firstLineChars="200"/>
        <w:rPr>
          <w:rFonts w:hint="eastAsia" w:ascii="仿宋" w:hAnsi="仿宋" w:eastAsia="仿宋" w:cs="仿宋"/>
          <w:sz w:val="24"/>
          <w:szCs w:val="32"/>
        </w:rPr>
      </w:pPr>
    </w:p>
    <w:p w14:paraId="3239BDA4">
      <w:pPr>
        <w:spacing w:line="360" w:lineRule="auto"/>
        <w:ind w:firstLine="562" w:firstLineChars="200"/>
        <w:rPr>
          <w:rFonts w:hint="eastAsia" w:ascii="仿宋" w:hAnsi="仿宋" w:eastAsia="仿宋" w:cs="Times New Roman"/>
          <w:b/>
          <w:sz w:val="28"/>
          <w:szCs w:val="28"/>
        </w:rPr>
      </w:pPr>
      <w:r>
        <w:rPr>
          <w:rFonts w:ascii="仿宋" w:hAnsi="仿宋" w:eastAsia="仿宋" w:cs="Times New Roman"/>
          <w:b/>
          <w:sz w:val="28"/>
          <w:szCs w:val="28"/>
        </w:rPr>
        <w:t>四、参考</w:t>
      </w:r>
      <w:r>
        <w:rPr>
          <w:rFonts w:hint="eastAsia" w:ascii="仿宋" w:hAnsi="仿宋" w:eastAsia="仿宋" w:cs="Times New Roman"/>
          <w:b/>
          <w:sz w:val="28"/>
          <w:szCs w:val="28"/>
        </w:rPr>
        <w:t>教材</w:t>
      </w:r>
    </w:p>
    <w:p w14:paraId="6C2D0482">
      <w:pPr>
        <w:spacing w:line="360" w:lineRule="auto"/>
        <w:rPr>
          <w:rFonts w:hint="eastAsia" w:ascii="仿宋" w:hAnsi="仿宋" w:eastAsia="仿宋" w:cs="仿宋"/>
          <w:sz w:val="24"/>
          <w:szCs w:val="32"/>
        </w:rPr>
      </w:pPr>
      <w:r>
        <w:rPr>
          <w:rFonts w:ascii="仿宋" w:hAnsi="仿宋" w:eastAsia="仿宋" w:cs="仿宋"/>
          <w:sz w:val="24"/>
          <w:szCs w:val="32"/>
        </w:rPr>
        <w:t>1、</w:t>
      </w:r>
      <w:r>
        <w:rPr>
          <w:rFonts w:hint="eastAsia" w:ascii="仿宋" w:hAnsi="仿宋" w:eastAsia="仿宋" w:cs="仿宋"/>
          <w:sz w:val="24"/>
          <w:szCs w:val="32"/>
        </w:rPr>
        <w:t>《货币金融学（第3版）》，蒋先玲编著，机械工业出版社，2021（ISBN：9787111676447）</w:t>
      </w:r>
    </w:p>
    <w:p w14:paraId="1612D774">
      <w:pPr>
        <w:spacing w:line="360" w:lineRule="auto"/>
        <w:rPr>
          <w:rFonts w:hint="eastAsia" w:ascii="仿宋" w:hAnsi="仿宋" w:eastAsia="仿宋" w:cs="仿宋"/>
          <w:sz w:val="24"/>
          <w:szCs w:val="32"/>
        </w:rPr>
      </w:pPr>
      <w:r>
        <w:rPr>
          <w:rFonts w:ascii="仿宋" w:hAnsi="仿宋" w:eastAsia="仿宋" w:cs="仿宋"/>
          <w:sz w:val="24"/>
          <w:szCs w:val="32"/>
        </w:rPr>
        <w:t>2、</w:t>
      </w:r>
      <w:r>
        <w:rPr>
          <w:rFonts w:hint="eastAsia" w:ascii="仿宋" w:hAnsi="仿宋" w:eastAsia="仿宋" w:cs="仿宋"/>
          <w:sz w:val="24"/>
          <w:szCs w:val="32"/>
        </w:rPr>
        <w:t>《公司理财（第3版）》，刘淑莲编著，中国人民大学出版社，2022（ISBN：9787300300009）</w:t>
      </w:r>
    </w:p>
    <w:p w14:paraId="2F3985ED">
      <w:pPr>
        <w:ind w:firstLine="420" w:firstLineChars="200"/>
        <w:rPr>
          <w:rFonts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2ZDJlN2FiYTNmNTAzMDk4MjdkNWE5OTVhMTk2NzkifQ=="/>
  </w:docVars>
  <w:rsids>
    <w:rsidRoot w:val="00F20AE6"/>
    <w:rsid w:val="00045F62"/>
    <w:rsid w:val="000777E5"/>
    <w:rsid w:val="00092DBE"/>
    <w:rsid w:val="00136694"/>
    <w:rsid w:val="00150749"/>
    <w:rsid w:val="001B276B"/>
    <w:rsid w:val="001F3F03"/>
    <w:rsid w:val="00236AE0"/>
    <w:rsid w:val="00261B7A"/>
    <w:rsid w:val="00290ABD"/>
    <w:rsid w:val="0031310E"/>
    <w:rsid w:val="00387302"/>
    <w:rsid w:val="003927D4"/>
    <w:rsid w:val="0044265B"/>
    <w:rsid w:val="00503F95"/>
    <w:rsid w:val="00567C81"/>
    <w:rsid w:val="00687302"/>
    <w:rsid w:val="007B0B47"/>
    <w:rsid w:val="007D4F24"/>
    <w:rsid w:val="00991083"/>
    <w:rsid w:val="009A6BD2"/>
    <w:rsid w:val="00A833E6"/>
    <w:rsid w:val="00A96260"/>
    <w:rsid w:val="00B40F14"/>
    <w:rsid w:val="00B87E24"/>
    <w:rsid w:val="00C45507"/>
    <w:rsid w:val="00D14795"/>
    <w:rsid w:val="00E15A92"/>
    <w:rsid w:val="00EC3E64"/>
    <w:rsid w:val="00EE0D40"/>
    <w:rsid w:val="00F20AE6"/>
    <w:rsid w:val="00F94A25"/>
    <w:rsid w:val="043F13A1"/>
    <w:rsid w:val="049D299F"/>
    <w:rsid w:val="074003A8"/>
    <w:rsid w:val="09177D3F"/>
    <w:rsid w:val="0ADF7344"/>
    <w:rsid w:val="12B77AE0"/>
    <w:rsid w:val="15E731F7"/>
    <w:rsid w:val="16A23660"/>
    <w:rsid w:val="245717E9"/>
    <w:rsid w:val="24B34D27"/>
    <w:rsid w:val="26976211"/>
    <w:rsid w:val="27B563A8"/>
    <w:rsid w:val="2F1D7631"/>
    <w:rsid w:val="2F8E32C1"/>
    <w:rsid w:val="31470B66"/>
    <w:rsid w:val="3C9B7721"/>
    <w:rsid w:val="460D49C3"/>
    <w:rsid w:val="5CE20919"/>
    <w:rsid w:val="60D71FF6"/>
    <w:rsid w:val="62F948BE"/>
    <w:rsid w:val="64C704DE"/>
    <w:rsid w:val="6E9228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character" w:styleId="5">
    <w:name w:val="page number"/>
    <w:basedOn w:val="4"/>
    <w:qFormat/>
    <w:uiPriority w:val="0"/>
  </w:style>
  <w:style w:type="paragraph" w:styleId="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1286</Words>
  <Characters>1356</Characters>
  <Lines>10</Lines>
  <Paragraphs>2</Paragraphs>
  <TotalTime>9</TotalTime>
  <ScaleCrop>false</ScaleCrop>
  <LinksUpToDate>false</LinksUpToDate>
  <CharactersWithSpaces>1387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2024-06-11T03:56:00Z</dcterms:created>
  <dc:creator>admin</dc:creator>
  <cp:lastModifiedBy>李准</cp:lastModifiedBy>
  <cp:lastPrinted>2024-06-28T07:44:00Z</cp:lastPrinted>
  <dcterms:modified xsi:type="dcterms:W3CDTF">2024-09-29T13:21:41Z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DA6AF5A81B4541C0B1F95A595C15CD41_13</vt:lpwstr>
  </property>
</Properties>
</file>